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8F0B5" w14:textId="77777777" w:rsidR="003C24C2" w:rsidRPr="003C24C2" w:rsidRDefault="003C24C2" w:rsidP="003C24C2">
      <w:pPr>
        <w:jc w:val="right"/>
        <w:rPr>
          <w:rFonts w:ascii="Tahoma" w:eastAsia="Times New Roman" w:hAnsi="Tahoma" w:cs="Tahoma"/>
          <w:color w:val="000000"/>
          <w:sz w:val="20"/>
          <w:szCs w:val="20"/>
          <w:lang w:eastAsia="it-IT"/>
        </w:rPr>
      </w:pPr>
      <w:r w:rsidRPr="003C24C2">
        <w:rPr>
          <w:rFonts w:ascii="Tahoma" w:eastAsia="Times New Roman" w:hAnsi="Tahoma" w:cs="Tahoma"/>
          <w:i/>
          <w:iCs/>
          <w:color w:val="000000"/>
          <w:sz w:val="20"/>
          <w:szCs w:val="20"/>
          <w:lang w:eastAsia="it-IT"/>
        </w:rPr>
        <w:t>Capoliveri, 21 gennaio 2021</w:t>
      </w:r>
    </w:p>
    <w:p w14:paraId="71F72698" w14:textId="77777777" w:rsidR="003C24C2" w:rsidRPr="003C24C2" w:rsidRDefault="003C24C2" w:rsidP="003C24C2">
      <w:pPr>
        <w:rPr>
          <w:rFonts w:ascii="Tahoma" w:eastAsia="Times New Roman" w:hAnsi="Tahoma" w:cs="Tahoma"/>
          <w:color w:val="000000"/>
          <w:sz w:val="20"/>
          <w:szCs w:val="20"/>
          <w:lang w:eastAsia="it-IT"/>
        </w:rPr>
      </w:pPr>
    </w:p>
    <w:p w14:paraId="31908311" w14:textId="77777777" w:rsidR="003C24C2" w:rsidRPr="003C24C2" w:rsidRDefault="003C24C2" w:rsidP="003C24C2">
      <w:pPr>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Caro Presidente,</w:t>
      </w:r>
    </w:p>
    <w:p w14:paraId="1000E1BF" w14:textId="77777777" w:rsidR="003C24C2" w:rsidRPr="003C24C2" w:rsidRDefault="003C24C2" w:rsidP="003C24C2">
      <w:pPr>
        <w:rPr>
          <w:rFonts w:ascii="Tahoma" w:eastAsia="Times New Roman" w:hAnsi="Tahoma" w:cs="Tahoma"/>
          <w:color w:val="000000"/>
          <w:sz w:val="20"/>
          <w:szCs w:val="20"/>
          <w:lang w:eastAsia="it-IT"/>
        </w:rPr>
      </w:pPr>
    </w:p>
    <w:p w14:paraId="0CE10334"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 xml:space="preserve">come ben sai, il </w:t>
      </w:r>
      <w:proofErr w:type="gramStart"/>
      <w:r w:rsidRPr="003C24C2">
        <w:rPr>
          <w:rFonts w:ascii="Tahoma" w:eastAsia="Times New Roman" w:hAnsi="Tahoma" w:cs="Tahoma"/>
          <w:color w:val="000000"/>
          <w:sz w:val="20"/>
          <w:szCs w:val="20"/>
          <w:lang w:eastAsia="it-IT"/>
        </w:rPr>
        <w:t>decreto legge</w:t>
      </w:r>
      <w:proofErr w:type="gramEnd"/>
      <w:r w:rsidRPr="003C24C2">
        <w:rPr>
          <w:rFonts w:ascii="Tahoma" w:eastAsia="Times New Roman" w:hAnsi="Tahoma" w:cs="Tahoma"/>
          <w:color w:val="000000"/>
          <w:sz w:val="20"/>
          <w:szCs w:val="20"/>
          <w:lang w:eastAsia="it-IT"/>
        </w:rPr>
        <w:t xml:space="preserve"> 229 del 30 dicembre 2021 ha esteso l’obbligo della certificazione verde rafforzata sui mezzi del trasporto pubblico locale, compresi quelli che garantiscono la continuità territoriale tra le isole dell’Arcipelago toscano e il continente. Una successiva ordinanza del Ministero della Salute ha parzialmente e temporaneamente derogato la norma prevedendo che fino al 10 febbraio, esclusivamente per motivi di salute e di studio, l’accesso ai mezzi pubblici per lo spostamento da e per le isole minori sia consentito con green pass base.   </w:t>
      </w:r>
    </w:p>
    <w:p w14:paraId="2F4498D0" w14:textId="77777777" w:rsidR="003C24C2" w:rsidRPr="003C24C2" w:rsidRDefault="003C24C2" w:rsidP="003C24C2">
      <w:pPr>
        <w:jc w:val="both"/>
        <w:rPr>
          <w:rFonts w:ascii="Tahoma" w:eastAsia="Times New Roman" w:hAnsi="Tahoma" w:cs="Tahoma"/>
          <w:color w:val="000000"/>
          <w:sz w:val="20"/>
          <w:szCs w:val="20"/>
          <w:lang w:eastAsia="it-IT"/>
        </w:rPr>
      </w:pPr>
    </w:p>
    <w:p w14:paraId="75A742DE"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Una disposizione che, di fatto, concreta una discriminazione tra gli abitanti delle isole minori e i residenti sul continente. Ai primi non è infatti riconosciuta la libertà di spostamento garantita dall’articolo 16 della Costituzione, limitando anche diritti e attività costituzionalmente garantite e tutelate, come la fruizione di servizi sanitari, la frequenza scolastica e universitaria e lo svolgimento di attività lavorative. </w:t>
      </w:r>
    </w:p>
    <w:p w14:paraId="2CBD40A7" w14:textId="77777777" w:rsidR="003C24C2" w:rsidRPr="003C24C2" w:rsidRDefault="003C24C2" w:rsidP="003C24C2">
      <w:pPr>
        <w:jc w:val="both"/>
        <w:rPr>
          <w:rFonts w:ascii="Tahoma" w:eastAsia="Times New Roman" w:hAnsi="Tahoma" w:cs="Tahoma"/>
          <w:color w:val="000000"/>
          <w:sz w:val="20"/>
          <w:szCs w:val="20"/>
          <w:lang w:eastAsia="it-IT"/>
        </w:rPr>
      </w:pPr>
    </w:p>
    <w:p w14:paraId="7365FFD6"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Solo per fare alcuni esempi: un abitante non vaccinato di Livorno può andare a trovare un suo familiare a Firenze utilizzando mezzi propri, un abitante non vaccinato di Portoferraio non può far visita a un suo familiare a Piombino; uno studente universitario elbano non vaccinato non può frequentare la facoltà a Pisa, un suo collega anch’egli non vaccinato ma residente ad Arezzo può raggiungere l’ateneo fiorentino; un gigliese non vaccinato che necessita di una prestazione sanitaria dall’11 febbraio non potrà recarsi all’ospedale di Grosseto, mentre un massese non vaccinato può, con mezzi propri, raggiungere l’ospedale di Siena. </w:t>
      </w:r>
    </w:p>
    <w:p w14:paraId="2B14A549" w14:textId="77777777" w:rsidR="003C24C2" w:rsidRPr="003C24C2" w:rsidRDefault="003C24C2" w:rsidP="003C24C2">
      <w:pPr>
        <w:jc w:val="both"/>
        <w:rPr>
          <w:rFonts w:ascii="Tahoma" w:eastAsia="Times New Roman" w:hAnsi="Tahoma" w:cs="Tahoma"/>
          <w:color w:val="000000"/>
          <w:sz w:val="20"/>
          <w:szCs w:val="20"/>
          <w:lang w:eastAsia="it-IT"/>
        </w:rPr>
      </w:pPr>
    </w:p>
    <w:p w14:paraId="5215B4C4"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 xml:space="preserve">Si dirà, e ne convengo, che la vaccinazione è stata determinante per attutire l’impatto della pandemia e che l’introduzione del green pass ha sortito effetti sulla campagna vaccinale; si dirà, e ne convengo, che ampissima parte della popolazione toscana, compresa quella insulare, è vaccinata e quindi le limitazioni toccano una risicata minoranza della popolazione. Ma sono anch’essi cittadini toscani e ritengo che la </w:t>
      </w:r>
      <w:r w:rsidRPr="003C24C2">
        <w:rPr>
          <w:rFonts w:ascii="Tahoma" w:eastAsia="Times New Roman" w:hAnsi="Tahoma" w:cs="Tahoma"/>
          <w:color w:val="000000"/>
          <w:sz w:val="20"/>
          <w:szCs w:val="20"/>
          <w:lang w:eastAsia="it-IT"/>
        </w:rPr>
        <w:lastRenderedPageBreak/>
        <w:t>Regione debba far sì che le libertà e i diritti riconosciuti agli abitanti sul continente siano i medesimi degli oltre 30mila residenti sulle isole toscane. </w:t>
      </w:r>
    </w:p>
    <w:p w14:paraId="25C4957A" w14:textId="77777777" w:rsidR="003C24C2" w:rsidRPr="003C24C2" w:rsidRDefault="003C24C2" w:rsidP="003C24C2">
      <w:pPr>
        <w:jc w:val="both"/>
        <w:rPr>
          <w:rFonts w:ascii="Tahoma" w:eastAsia="Times New Roman" w:hAnsi="Tahoma" w:cs="Tahoma"/>
          <w:color w:val="000000"/>
          <w:sz w:val="20"/>
          <w:szCs w:val="20"/>
          <w:lang w:eastAsia="it-IT"/>
        </w:rPr>
      </w:pPr>
    </w:p>
    <w:p w14:paraId="01A72DBC" w14:textId="77777777" w:rsidR="003C24C2" w:rsidRPr="003C24C2" w:rsidRDefault="003C24C2" w:rsidP="003C24C2">
      <w:pPr>
        <w:jc w:val="both"/>
        <w:rPr>
          <w:rFonts w:ascii="Tahoma" w:eastAsia="Times New Roman" w:hAnsi="Tahoma" w:cs="Tahoma"/>
          <w:color w:val="000000"/>
          <w:sz w:val="20"/>
          <w:szCs w:val="20"/>
          <w:lang w:eastAsia="it-IT"/>
        </w:rPr>
      </w:pPr>
    </w:p>
    <w:p w14:paraId="0592328F"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Come certamente saprai il 18 gennaio scorso il presidente della Regione Sicilia Nello Musumeci ha emesso un’ordinanza che consente l’accesso ai traghetti che attraversano lo Stretto di Messina e a quelli che collegano la Sicilia alle isole minori regionali a tutti coloro che sono in possesso della certificazione verde base, fissando alcune condizioni: che chi viaggia in auto resti all’interno del mezzo e che chi effettua il passaggio ponte utilizzi solo le aree aperte dei traghetti.</w:t>
      </w:r>
    </w:p>
    <w:p w14:paraId="54AA4056"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 xml:space="preserve">Ordinanza che non ha incontrato la contrarietà del Governo, come emerso dalle parole del ministro dei Trasporti </w:t>
      </w:r>
      <w:proofErr w:type="spellStart"/>
      <w:r w:rsidRPr="003C24C2">
        <w:rPr>
          <w:rFonts w:ascii="Tahoma" w:eastAsia="Times New Roman" w:hAnsi="Tahoma" w:cs="Tahoma"/>
          <w:color w:val="000000"/>
          <w:sz w:val="20"/>
          <w:szCs w:val="20"/>
          <w:lang w:eastAsia="it-IT"/>
        </w:rPr>
        <w:t>audito</w:t>
      </w:r>
      <w:proofErr w:type="spellEnd"/>
      <w:r w:rsidRPr="003C24C2">
        <w:rPr>
          <w:rFonts w:ascii="Tahoma" w:eastAsia="Times New Roman" w:hAnsi="Tahoma" w:cs="Tahoma"/>
          <w:color w:val="000000"/>
          <w:sz w:val="20"/>
          <w:szCs w:val="20"/>
          <w:lang w:eastAsia="it-IT"/>
        </w:rPr>
        <w:t xml:space="preserve"> ieri in Commissione.</w:t>
      </w:r>
    </w:p>
    <w:p w14:paraId="227304E9" w14:textId="77777777" w:rsidR="003C24C2" w:rsidRPr="003C24C2" w:rsidRDefault="003C24C2" w:rsidP="003C24C2">
      <w:pPr>
        <w:jc w:val="both"/>
        <w:rPr>
          <w:rFonts w:ascii="Tahoma" w:eastAsia="Times New Roman" w:hAnsi="Tahoma" w:cs="Tahoma"/>
          <w:color w:val="000000"/>
          <w:sz w:val="20"/>
          <w:szCs w:val="20"/>
          <w:lang w:eastAsia="it-IT"/>
        </w:rPr>
      </w:pPr>
    </w:p>
    <w:p w14:paraId="319014D2"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Nel corso dell’ultima seduta del Consiglio regionale è stata approvata all’unanimità una mia mozione, emendata da alcuni colleghi del Pd, che impegna la Giunta ad estendere la deroga prevista fino al 10 febbraio anche a universitari e lavoratori e, soprattutto, a trovare tempestivamente una soluzione alla problematica. </w:t>
      </w:r>
    </w:p>
    <w:p w14:paraId="7F7B7C46" w14:textId="77777777" w:rsidR="003C24C2" w:rsidRPr="003C24C2" w:rsidRDefault="003C24C2" w:rsidP="003C24C2">
      <w:pPr>
        <w:jc w:val="both"/>
        <w:rPr>
          <w:rFonts w:ascii="Tahoma" w:eastAsia="Times New Roman" w:hAnsi="Tahoma" w:cs="Tahoma"/>
          <w:color w:val="000000"/>
          <w:sz w:val="20"/>
          <w:szCs w:val="20"/>
          <w:lang w:eastAsia="it-IT"/>
        </w:rPr>
      </w:pPr>
    </w:p>
    <w:p w14:paraId="3F5B8E47" w14:textId="77777777" w:rsidR="003C24C2" w:rsidRPr="003C24C2" w:rsidRDefault="003C24C2" w:rsidP="003C24C2">
      <w:pPr>
        <w:jc w:val="both"/>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Nella mia duplice veste di consigliere regionale e di residente su una delle sette isole della Toscana, alla luce dell’atto di indirizzo approvato dal Consiglio e del ridotto tempo a disposizione, sono quindi a chiederti di prendere in considerazione l’ipotesi di varare un’ordinanza regionale che consenta l’accesso ai traghetti che prestano servizio di continuità territoriale a tutti i cittadini muniti di certificazione verde base, valutando l’opportunità di temperare questa deroga alle disposizioni nazionali limitando, ad esempio, l’accesso alle aree chiuse dei traghetti ai soli detentori del super green pass.</w:t>
      </w:r>
    </w:p>
    <w:p w14:paraId="366E1595" w14:textId="77777777" w:rsidR="003C24C2" w:rsidRPr="003C24C2" w:rsidRDefault="003C24C2" w:rsidP="003C24C2">
      <w:pPr>
        <w:jc w:val="both"/>
        <w:rPr>
          <w:rFonts w:ascii="Tahoma" w:eastAsia="Times New Roman" w:hAnsi="Tahoma" w:cs="Tahoma"/>
          <w:color w:val="000000"/>
          <w:sz w:val="20"/>
          <w:szCs w:val="20"/>
          <w:lang w:eastAsia="it-IT"/>
        </w:rPr>
      </w:pPr>
    </w:p>
    <w:p w14:paraId="383EBC29" w14:textId="77777777" w:rsidR="003C24C2" w:rsidRPr="003C24C2" w:rsidRDefault="003C24C2" w:rsidP="003C24C2">
      <w:pPr>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Confidando in una tua risposta,</w:t>
      </w:r>
    </w:p>
    <w:p w14:paraId="59C5523A" w14:textId="77777777" w:rsidR="003C24C2" w:rsidRPr="003C24C2" w:rsidRDefault="003C24C2" w:rsidP="003C24C2">
      <w:pPr>
        <w:rPr>
          <w:rFonts w:ascii="Tahoma" w:eastAsia="Times New Roman" w:hAnsi="Tahoma" w:cs="Tahoma"/>
          <w:color w:val="000000"/>
          <w:sz w:val="20"/>
          <w:szCs w:val="20"/>
          <w:lang w:eastAsia="it-IT"/>
        </w:rPr>
      </w:pPr>
    </w:p>
    <w:p w14:paraId="01F0530A" w14:textId="77777777" w:rsidR="003C24C2" w:rsidRPr="003C24C2" w:rsidRDefault="003C24C2" w:rsidP="003C24C2">
      <w:pPr>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ti saluto cordialmente,</w:t>
      </w:r>
    </w:p>
    <w:p w14:paraId="7BAE638C" w14:textId="77777777" w:rsidR="003C24C2" w:rsidRPr="003C24C2" w:rsidRDefault="003C24C2" w:rsidP="003C24C2">
      <w:pPr>
        <w:rPr>
          <w:rFonts w:ascii="Tahoma" w:eastAsia="Times New Roman" w:hAnsi="Tahoma" w:cs="Tahoma"/>
          <w:color w:val="000000"/>
          <w:sz w:val="20"/>
          <w:szCs w:val="20"/>
          <w:lang w:eastAsia="it-IT"/>
        </w:rPr>
      </w:pPr>
    </w:p>
    <w:p w14:paraId="6C2DE58C" w14:textId="77777777" w:rsidR="003C24C2" w:rsidRPr="003C24C2" w:rsidRDefault="003C24C2" w:rsidP="003C24C2">
      <w:pPr>
        <w:jc w:val="right"/>
        <w:rPr>
          <w:rFonts w:ascii="Tahoma" w:eastAsia="Times New Roman" w:hAnsi="Tahoma" w:cs="Tahoma"/>
          <w:color w:val="000000"/>
          <w:sz w:val="20"/>
          <w:szCs w:val="20"/>
          <w:lang w:eastAsia="it-IT"/>
        </w:rPr>
      </w:pPr>
      <w:r w:rsidRPr="003C24C2">
        <w:rPr>
          <w:rFonts w:ascii="Tahoma" w:eastAsia="Times New Roman" w:hAnsi="Tahoma" w:cs="Tahoma"/>
          <w:color w:val="000000"/>
          <w:sz w:val="20"/>
          <w:szCs w:val="20"/>
          <w:lang w:eastAsia="it-IT"/>
        </w:rPr>
        <w:t>Marco Landi</w:t>
      </w:r>
    </w:p>
    <w:p w14:paraId="7168AC94" w14:textId="77777777" w:rsidR="00701984" w:rsidRDefault="00701984"/>
    <w:sectPr w:rsidR="00701984" w:rsidSect="005B478F">
      <w:pgSz w:w="8400" w:h="1190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C2"/>
    <w:rsid w:val="00211AF2"/>
    <w:rsid w:val="003C24C2"/>
    <w:rsid w:val="005B478F"/>
    <w:rsid w:val="00701984"/>
    <w:rsid w:val="009C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715347"/>
  <w15:chartTrackingRefBased/>
  <w15:docId w15:val="{A01C3815-31B2-564A-A733-113734EA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40356">
      <w:bodyDiv w:val="1"/>
      <w:marLeft w:val="0"/>
      <w:marRight w:val="0"/>
      <w:marTop w:val="0"/>
      <w:marBottom w:val="0"/>
      <w:divBdr>
        <w:top w:val="none" w:sz="0" w:space="0" w:color="auto"/>
        <w:left w:val="none" w:sz="0" w:space="0" w:color="auto"/>
        <w:bottom w:val="none" w:sz="0" w:space="0" w:color="auto"/>
        <w:right w:val="none" w:sz="0" w:space="0" w:color="auto"/>
      </w:divBdr>
      <w:divsChild>
        <w:div w:id="419839759">
          <w:marLeft w:val="0"/>
          <w:marRight w:val="0"/>
          <w:marTop w:val="0"/>
          <w:marBottom w:val="0"/>
          <w:divBdr>
            <w:top w:val="none" w:sz="0" w:space="0" w:color="auto"/>
            <w:left w:val="none" w:sz="0" w:space="0" w:color="auto"/>
            <w:bottom w:val="none" w:sz="0" w:space="0" w:color="auto"/>
            <w:right w:val="none" w:sz="0" w:space="0" w:color="auto"/>
          </w:divBdr>
        </w:div>
        <w:div w:id="1256984759">
          <w:marLeft w:val="0"/>
          <w:marRight w:val="0"/>
          <w:marTop w:val="0"/>
          <w:marBottom w:val="0"/>
          <w:divBdr>
            <w:top w:val="none" w:sz="0" w:space="0" w:color="auto"/>
            <w:left w:val="none" w:sz="0" w:space="0" w:color="auto"/>
            <w:bottom w:val="none" w:sz="0" w:space="0" w:color="auto"/>
            <w:right w:val="none" w:sz="0" w:space="0" w:color="auto"/>
          </w:divBdr>
        </w:div>
        <w:div w:id="1334378807">
          <w:marLeft w:val="0"/>
          <w:marRight w:val="0"/>
          <w:marTop w:val="0"/>
          <w:marBottom w:val="0"/>
          <w:divBdr>
            <w:top w:val="none" w:sz="0" w:space="0" w:color="auto"/>
            <w:left w:val="none" w:sz="0" w:space="0" w:color="auto"/>
            <w:bottom w:val="none" w:sz="0" w:space="0" w:color="auto"/>
            <w:right w:val="none" w:sz="0" w:space="0" w:color="auto"/>
          </w:divBdr>
        </w:div>
        <w:div w:id="679895911">
          <w:marLeft w:val="0"/>
          <w:marRight w:val="0"/>
          <w:marTop w:val="0"/>
          <w:marBottom w:val="0"/>
          <w:divBdr>
            <w:top w:val="none" w:sz="0" w:space="0" w:color="auto"/>
            <w:left w:val="none" w:sz="0" w:space="0" w:color="auto"/>
            <w:bottom w:val="none" w:sz="0" w:space="0" w:color="auto"/>
            <w:right w:val="none" w:sz="0" w:space="0" w:color="auto"/>
          </w:divBdr>
        </w:div>
        <w:div w:id="516845963">
          <w:marLeft w:val="0"/>
          <w:marRight w:val="0"/>
          <w:marTop w:val="0"/>
          <w:marBottom w:val="0"/>
          <w:divBdr>
            <w:top w:val="none" w:sz="0" w:space="0" w:color="auto"/>
            <w:left w:val="none" w:sz="0" w:space="0" w:color="auto"/>
            <w:bottom w:val="none" w:sz="0" w:space="0" w:color="auto"/>
            <w:right w:val="none" w:sz="0" w:space="0" w:color="auto"/>
          </w:divBdr>
        </w:div>
        <w:div w:id="122893090">
          <w:marLeft w:val="0"/>
          <w:marRight w:val="0"/>
          <w:marTop w:val="0"/>
          <w:marBottom w:val="0"/>
          <w:divBdr>
            <w:top w:val="none" w:sz="0" w:space="0" w:color="auto"/>
            <w:left w:val="none" w:sz="0" w:space="0" w:color="auto"/>
            <w:bottom w:val="none" w:sz="0" w:space="0" w:color="auto"/>
            <w:right w:val="none" w:sz="0" w:space="0" w:color="auto"/>
          </w:divBdr>
        </w:div>
        <w:div w:id="684131843">
          <w:marLeft w:val="0"/>
          <w:marRight w:val="0"/>
          <w:marTop w:val="0"/>
          <w:marBottom w:val="0"/>
          <w:divBdr>
            <w:top w:val="none" w:sz="0" w:space="0" w:color="auto"/>
            <w:left w:val="none" w:sz="0" w:space="0" w:color="auto"/>
            <w:bottom w:val="none" w:sz="0" w:space="0" w:color="auto"/>
            <w:right w:val="none" w:sz="0" w:space="0" w:color="auto"/>
          </w:divBdr>
        </w:div>
        <w:div w:id="963124241">
          <w:marLeft w:val="0"/>
          <w:marRight w:val="0"/>
          <w:marTop w:val="0"/>
          <w:marBottom w:val="0"/>
          <w:divBdr>
            <w:top w:val="none" w:sz="0" w:space="0" w:color="auto"/>
            <w:left w:val="none" w:sz="0" w:space="0" w:color="auto"/>
            <w:bottom w:val="none" w:sz="0" w:space="0" w:color="auto"/>
            <w:right w:val="none" w:sz="0" w:space="0" w:color="auto"/>
          </w:divBdr>
        </w:div>
        <w:div w:id="1071003335">
          <w:marLeft w:val="0"/>
          <w:marRight w:val="0"/>
          <w:marTop w:val="0"/>
          <w:marBottom w:val="0"/>
          <w:divBdr>
            <w:top w:val="none" w:sz="0" w:space="0" w:color="auto"/>
            <w:left w:val="none" w:sz="0" w:space="0" w:color="auto"/>
            <w:bottom w:val="none" w:sz="0" w:space="0" w:color="auto"/>
            <w:right w:val="none" w:sz="0" w:space="0" w:color="auto"/>
          </w:divBdr>
        </w:div>
        <w:div w:id="2064021924">
          <w:marLeft w:val="0"/>
          <w:marRight w:val="0"/>
          <w:marTop w:val="0"/>
          <w:marBottom w:val="0"/>
          <w:divBdr>
            <w:top w:val="none" w:sz="0" w:space="0" w:color="auto"/>
            <w:left w:val="none" w:sz="0" w:space="0" w:color="auto"/>
            <w:bottom w:val="none" w:sz="0" w:space="0" w:color="auto"/>
            <w:right w:val="none" w:sz="0" w:space="0" w:color="auto"/>
          </w:divBdr>
        </w:div>
        <w:div w:id="690105095">
          <w:marLeft w:val="0"/>
          <w:marRight w:val="0"/>
          <w:marTop w:val="0"/>
          <w:marBottom w:val="0"/>
          <w:divBdr>
            <w:top w:val="none" w:sz="0" w:space="0" w:color="auto"/>
            <w:left w:val="none" w:sz="0" w:space="0" w:color="auto"/>
            <w:bottom w:val="none" w:sz="0" w:space="0" w:color="auto"/>
            <w:right w:val="none" w:sz="0" w:space="0" w:color="auto"/>
          </w:divBdr>
        </w:div>
        <w:div w:id="1247299045">
          <w:marLeft w:val="0"/>
          <w:marRight w:val="0"/>
          <w:marTop w:val="0"/>
          <w:marBottom w:val="0"/>
          <w:divBdr>
            <w:top w:val="none" w:sz="0" w:space="0" w:color="auto"/>
            <w:left w:val="none" w:sz="0" w:space="0" w:color="auto"/>
            <w:bottom w:val="none" w:sz="0" w:space="0" w:color="auto"/>
            <w:right w:val="none" w:sz="0" w:space="0" w:color="auto"/>
          </w:divBdr>
        </w:div>
        <w:div w:id="2045322709">
          <w:marLeft w:val="0"/>
          <w:marRight w:val="0"/>
          <w:marTop w:val="0"/>
          <w:marBottom w:val="0"/>
          <w:divBdr>
            <w:top w:val="none" w:sz="0" w:space="0" w:color="auto"/>
            <w:left w:val="none" w:sz="0" w:space="0" w:color="auto"/>
            <w:bottom w:val="none" w:sz="0" w:space="0" w:color="auto"/>
            <w:right w:val="none" w:sz="0" w:space="0" w:color="auto"/>
          </w:divBdr>
        </w:div>
        <w:div w:id="2049376668">
          <w:marLeft w:val="0"/>
          <w:marRight w:val="0"/>
          <w:marTop w:val="0"/>
          <w:marBottom w:val="0"/>
          <w:divBdr>
            <w:top w:val="none" w:sz="0" w:space="0" w:color="auto"/>
            <w:left w:val="none" w:sz="0" w:space="0" w:color="auto"/>
            <w:bottom w:val="none" w:sz="0" w:space="0" w:color="auto"/>
            <w:right w:val="none" w:sz="0" w:space="0" w:color="auto"/>
          </w:divBdr>
        </w:div>
        <w:div w:id="1248535157">
          <w:marLeft w:val="0"/>
          <w:marRight w:val="0"/>
          <w:marTop w:val="0"/>
          <w:marBottom w:val="0"/>
          <w:divBdr>
            <w:top w:val="none" w:sz="0" w:space="0" w:color="auto"/>
            <w:left w:val="none" w:sz="0" w:space="0" w:color="auto"/>
            <w:bottom w:val="none" w:sz="0" w:space="0" w:color="auto"/>
            <w:right w:val="none" w:sz="0" w:space="0" w:color="auto"/>
          </w:divBdr>
        </w:div>
        <w:div w:id="1735662892">
          <w:marLeft w:val="0"/>
          <w:marRight w:val="0"/>
          <w:marTop w:val="0"/>
          <w:marBottom w:val="0"/>
          <w:divBdr>
            <w:top w:val="none" w:sz="0" w:space="0" w:color="auto"/>
            <w:left w:val="none" w:sz="0" w:space="0" w:color="auto"/>
            <w:bottom w:val="none" w:sz="0" w:space="0" w:color="auto"/>
            <w:right w:val="none" w:sz="0" w:space="0" w:color="auto"/>
          </w:divBdr>
        </w:div>
        <w:div w:id="1030184625">
          <w:marLeft w:val="0"/>
          <w:marRight w:val="0"/>
          <w:marTop w:val="0"/>
          <w:marBottom w:val="0"/>
          <w:divBdr>
            <w:top w:val="none" w:sz="0" w:space="0" w:color="auto"/>
            <w:left w:val="none" w:sz="0" w:space="0" w:color="auto"/>
            <w:bottom w:val="none" w:sz="0" w:space="0" w:color="auto"/>
            <w:right w:val="none" w:sz="0" w:space="0" w:color="auto"/>
          </w:divBdr>
        </w:div>
        <w:div w:id="1483346094">
          <w:marLeft w:val="0"/>
          <w:marRight w:val="0"/>
          <w:marTop w:val="0"/>
          <w:marBottom w:val="0"/>
          <w:divBdr>
            <w:top w:val="none" w:sz="0" w:space="0" w:color="auto"/>
            <w:left w:val="none" w:sz="0" w:space="0" w:color="auto"/>
            <w:bottom w:val="none" w:sz="0" w:space="0" w:color="auto"/>
            <w:right w:val="none" w:sz="0" w:space="0" w:color="auto"/>
          </w:divBdr>
        </w:div>
        <w:div w:id="2034719299">
          <w:marLeft w:val="0"/>
          <w:marRight w:val="0"/>
          <w:marTop w:val="0"/>
          <w:marBottom w:val="0"/>
          <w:divBdr>
            <w:top w:val="none" w:sz="0" w:space="0" w:color="auto"/>
            <w:left w:val="none" w:sz="0" w:space="0" w:color="auto"/>
            <w:bottom w:val="none" w:sz="0" w:space="0" w:color="auto"/>
            <w:right w:val="none" w:sz="0" w:space="0" w:color="auto"/>
          </w:divBdr>
        </w:div>
        <w:div w:id="1871147152">
          <w:marLeft w:val="0"/>
          <w:marRight w:val="0"/>
          <w:marTop w:val="0"/>
          <w:marBottom w:val="0"/>
          <w:divBdr>
            <w:top w:val="none" w:sz="0" w:space="0" w:color="auto"/>
            <w:left w:val="none" w:sz="0" w:space="0" w:color="auto"/>
            <w:bottom w:val="none" w:sz="0" w:space="0" w:color="auto"/>
            <w:right w:val="none" w:sz="0" w:space="0" w:color="auto"/>
          </w:divBdr>
        </w:div>
        <w:div w:id="1903832640">
          <w:marLeft w:val="0"/>
          <w:marRight w:val="0"/>
          <w:marTop w:val="0"/>
          <w:marBottom w:val="0"/>
          <w:divBdr>
            <w:top w:val="none" w:sz="0" w:space="0" w:color="auto"/>
            <w:left w:val="none" w:sz="0" w:space="0" w:color="auto"/>
            <w:bottom w:val="none" w:sz="0" w:space="0" w:color="auto"/>
            <w:right w:val="none" w:sz="0" w:space="0" w:color="auto"/>
          </w:divBdr>
        </w:div>
        <w:div w:id="1678342833">
          <w:marLeft w:val="0"/>
          <w:marRight w:val="0"/>
          <w:marTop w:val="0"/>
          <w:marBottom w:val="0"/>
          <w:divBdr>
            <w:top w:val="none" w:sz="0" w:space="0" w:color="auto"/>
            <w:left w:val="none" w:sz="0" w:space="0" w:color="auto"/>
            <w:bottom w:val="none" w:sz="0" w:space="0" w:color="auto"/>
            <w:right w:val="none" w:sz="0" w:space="0" w:color="auto"/>
          </w:divBdr>
        </w:div>
        <w:div w:id="19543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Gambacciani</dc:creator>
  <cp:keywords/>
  <dc:description/>
  <cp:lastModifiedBy>Paolo Gambacciani</cp:lastModifiedBy>
  <cp:revision>1</cp:revision>
  <dcterms:created xsi:type="dcterms:W3CDTF">2022-01-21T14:16:00Z</dcterms:created>
  <dcterms:modified xsi:type="dcterms:W3CDTF">2022-01-21T14:17:00Z</dcterms:modified>
</cp:coreProperties>
</file>